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075/04 vom 8. November 2004</w:t>
      </w:r>
    </w:p>
    <w:p>
      <w:r>
        <w:t>Bundesstrafgericht, 2004-11-08, DE</w:t>
      </w:r>
    </w:p>
    <w:p>
      <w:r>
        <w:rPr>
          <w:b/>
        </w:rPr>
        <w:t xml:space="preserve">Quelle: </w:t>
      </w:r>
      <w:r>
        <w:t>https://mcp.opencaselaw.ch/entscheid/bstger_BK_B 075_04</w:t>
      </w:r>
    </w:p>
    <w:p>
      <w:r>
        <w:t>FR: TPF BK_B 075/04 du 8 novembre 2004</w:t>
      </w:r>
    </w:p>
    <w:p>
      <w:r>
        <w:t>IT: TPF BK_B 075/04 del 8 novembre 2004</w:t>
      </w:r>
    </w:p>
    <w:p>
      <w:pPr>
        <w:pStyle w:val="Heading2"/>
      </w:pPr>
      <w:r>
        <w:t>Regeste</w:t>
      </w:r>
    </w:p>
    <w:p>
      <w:r>
        <w:t>Beschwerde gegen Hausdurchsuchung und Beschlagnahme (Art. 46 und 48 VStrR)</w:t>
      </w:r>
    </w:p>
    <w:p>
      <w:pPr>
        <w:pStyle w:val="Heading2"/>
      </w:pPr>
      <w:r>
        <w:t>Erwägungen</w:t>
      </w:r>
    </w:p>
    <w:p>
      <w:r>
        <w:rPr>
          <w:b/>
        </w:rPr>
        <w:t>E. 1</w:t>
      </w:r>
    </w:p>
    <w:p>
      <w:r>
        <w:t>Wie zuvor die Anklagekammer des Bundesgerichts prüft die Beschwerde- kammer des Bundesstrafgerichts die Zulässigkeit der bei ihr eingereichten Rechtsmittel von Amtes wegen und mit freier Kognition (BGE 122 IV 188, 190 E. 1; 121 II 72, 74 E. 1a).</w:t>
      </w:r>
    </w:p>
    <w:p>
      <w:r>
        <w:t>Gegen Zwangsmassnahmen und damit zusammenhängende Amtshand- lungen und Säumnis u. a. des Direktors der beteiligten Verwaltung (hier des Direktors der Beschwerdegegnerin) kann bei der Beschwerdekammer des Bundesstrafgerichts Beschwerde geführt werden (Art. 26 Abs. 1 des Bundesgesetzes über das Verwaltungsstrafrecht vom 22. März 1974, VStrR [SR 313.0]; Art. 28 Abs. 1 lit. d des Bundesgesetzes über das Bun- desstrafgericht vom</w:t>
      </w:r>
    </w:p>
    <w:p>
      <w:r>
        <w:rPr>
          <w:b/>
        </w:rPr>
        <w:t>E. 4</w:t>
      </w:r>
    </w:p>
    <w:p>
      <w:r>
        <w:t>Die Beschwerdegegnerin beruft sich, allerdings erst in der Beschwerde- antwort und auch nur sinngemäss, für die beschlagnahmten Geschäftsun- terlagen auf den Beschlagnahmegrund der Beweismittelsicherung; für die Arzneimittel wird sinngemäss die Sicherungsbeschlagnahme geltend ge- macht. Letzteres macht die Beschwerdegegnerin in der Beschwerdeduplik zusätzlich und neu auch hinsichtlich des Notebooks geltend.</w:t>
      </w:r>
    </w:p>
    <w:p>
      <w:r>
        <w:rPr>
          <w:b/>
        </w:rPr>
        <w:t>E. 4.1</w:t>
      </w:r>
    </w:p>
    <w:p>
      <w:r>
        <w:t>Gemäss Art. 46 Abs. 1 lit. a VStrR sind Gegenstände, die als Beweismittel von Bedeutung sein können, mit Beschlag zu belegen. Dabei genügt die Möglichkeit, dass Gegenstände unmittelbar oder mittelbar für die Tat oder</w:t>
      </w:r>
    </w:p>
    <w:p>
      <w:r>
        <w:t>- 6 -</w:t>
      </w:r>
    </w:p>
    <w:p>
      <w:r>
        <w:t>ihre Umstände Beweis erbringen können. Es genügt eine gewisse Wahr- scheinlichkeit, dass das Beweisobjekt unmittelbar oder mittelbar mit der strafbaren Handlung in Zusammenhang steht (HAUSER/SCHWERI, Schwei- zerisches Strafprozessrecht, 5. Aufl., S. 313 N 2).</w:t>
      </w:r>
    </w:p>
    <w:p>
      <w:r>
        <w:t>Vorliegend geht es um den Tatverdacht des vollendeten oder versuchten strafbaren Verkaufs von Arzneimitteln. Beschlagnahmt wurden die vorge- fundenen Unterlagen, wobei die Beschwerdegegnerin anfänglich, das heisst in der Beschwerdeantwort, nicht ausschloss, dass sich darunter ver- einzelt noch Unterlagen privater Natur befinden könnten. In der Beschwer- deduplik hält sie fest, es handle sich dabei um Geschäftsunterlagen in Sa- chen „D“.ch sowie Kontobelege von Konti, welche mit dem Arzneimittel- handel in Verbindung stünden. Insbesondere stellt sie in Abrede, dass sich bei den sichergestellten Unterlagen ein Einschreibebrief aus Österreich mit € 145.-- befunden habe. Dieser Darstellung ist zu folgen, und es ist diesbe- züglich zusätzlich auf die vom Beschwerdeführer unterzeichneten Be- schlagnahmeprotokolle zu verweisen. Geschäftsunterlagen sind grundsätz- lich und hier konkret geeignet, als Beweismittel hinsichtlich des genannten Tatverdachts zu dienen. Insbesondere können sie Auskunft über Art und Umfang der Verkaufstätigkeit geben. Eine weitere Konkretisierung der Be- weismitteleignung ist in diesem Verfahrensstadium nicht erforderlich. Die Beschlagnahme bietet auch unter dem Gesichtspunkt der Verhältnismäs- sigkeit keine Probleme. Sollte der Beschwerdeführer konkreten Bedarf be- züglich einzelner Papiere haben, kann er sich an die Beschwerdegegnerin wenden, um entsprechende Kopien herstellen zu lassen.</w:t>
      </w:r>
    </w:p>
    <w:p>
      <w:r>
        <w:rPr>
          <w:b/>
        </w:rPr>
        <w:t>E. 4.2</w:t>
      </w:r>
    </w:p>
    <w:p>
      <w:r>
        <w:t>Gemäss Art. 46 Abs. 1 lit. b VStrR sind Gegenstände und andere Vermö- genswerte, die voraussichtlich der Einziehung unterliegen, mit Beschlag zu belegen. Im Vordergrund steht hier die Beschlagnahme zum Zwecke einer allfälligen definitiven Sicherungseinziehung nach Art. 58 StGB. Danach sind Gegenstände einzuziehen, die zur Begehung einer strafbaren Hand- lung gedient haben oder bestimmt waren, oder die durch eine strafbare Handlung hervorgebracht worden sind, wenn diese Gegenstände die Si- cherheit von Menschen, die Sittlichkeit oder die öffentliche Ordnung gefähr- den. Die Beschlagnahme als bloss provisorische prozessuale Massnahme präjudiziert den materiellen Einziehungsentscheid nicht. Insofern muss es für die Aufrechterhaltung der Beschlagnahme zur Sicherung einer allfälli- gen Sicherungseinziehung genügen, wenn Gegenstände mit einiger Wahr- scheinlichkeit die Sicherheit von Menschen beeinträchtigen können.</w:t>
      </w:r>
    </w:p>
    <w:p>
      <w:r>
        <w:t>Die Beschwerdeführerin macht geltend, die Quantitäten an beschlagnahm- ter Ware seien darauf zurückzuführen, dass er für sich und seine Frau ei-</w:t>
      </w:r>
    </w:p>
    <w:p>
      <w:r>
        <w:t>- 7 -</w:t>
      </w:r>
    </w:p>
    <w:p>
      <w:r>
        <w:t>nen Jahresbedarf für den persönlichen Verbrauch verfügbar habe und es sich bei den Kava-Kava-Produkten um familieninternen Bedarf handle. Ob dies der Fall ist, wird das Strafverfahren zu klären und der Sachrichter wird darüber zu befinden haben. Nachdem der Beschwerdeführer jedoch diese Produkte im Internet zum Verkauf angeboten hat, besteht der offenkundige Verdacht, auch die beschlagnahmten Produkte hätten der Lieferung an Be- steller gedient. Da Kava-Kava-Produkte in der Schweiz ganz allgemein nicht zugelassen sind, Glucosamine-Supplemente zwar in zugelassenen Produkten vorkommen, es sich dabei aber um rezeptpflichtige Produkte handelt, ist eine Gefahr für die Sicherheit Dritter bei Einsatz beziehungs- weise nicht ärztlich kontrolliertem Einsatz solcher Produkte nicht auszu- schliessen. Neben dem für die Sicherungseinziehung erforderlichen De- liktskonnex ist damit auch die vom einzuziehenden Gegenstand ausgehen- de Gefährdung für die Sicherheit von Menschen im Sinne einer für die Sicherungsbeschlagnahme genügenden Wahrscheinlichkeit in der Hand des Berechtigten auszugehen. Auch diesbezüglich ergeben sich unter dem Gesichtspunkt des Verhältnismässigkeitsgrundsatzes keine Einwendungen gegen eine Fortsetzung der Beschlagnahme bis zum sachrichterlichen Ent- scheid.</w:t>
      </w:r>
    </w:p>
    <w:p>
      <w:r>
        <w:t>Die Beschwerde ist daher auch in diesem Punkt abzuweisen.</w:t>
      </w:r>
    </w:p>
    <w:p>
      <w:r>
        <w:rPr>
          <w:b/>
        </w:rPr>
        <w:t>E. 4.3</w:t>
      </w:r>
    </w:p>
    <w:p>
      <w:r>
        <w:t>Schliesslich hält die Beschwerdegegnerin weiterhin ein Notebook HP unter Beschlag (zwei weitere Computer wurden nicht beschlagnahmt), über wel- ches der Vertrieb per Internet gelaufen sein soll. Anfänglich hielt die Be- schwerdegegnerin das Notebook ausschliesslich als Beweismittel unter Beschlag, wies in der Beschwerdeantwort gar darauf hin, sie habe zuge- sagt und wiederhole diese Zusage, dass das Notebook nach Durchführung der forensisch korrekten Datensicherung (Spiegelung) zurückgegeben werde (BK act. 2, S. 5). Erst in der Beschwerdeduplik stellt sich die Be- schwerdegegnerin neu auf den Standpunkt, dass das Notebook zur Siche- rungseinziehung beschlagnahmt bleiben solle. Nach Durchführung der Spiegelung habe sich ergeben, dass darüber der E-Mail-Verkehr mit den Kunden erfolgt sei und dieses zur Abwicklung des Arzneimittelverkaufs über die Web-Seite gedient habe (BK act. 15, S. 3 f.). Bei Rückgabe beste- he der Verdacht, dass dieses wiederum für den unzulässigen Verkauf von Arzneimitteln eingesetzt werde.</w:t>
      </w:r>
    </w:p>
    <w:p>
      <w:r>
        <w:t>Es kann offen bleiben, ob die Behörde in einem hängigen Beschwerdever- fahren ohne echte Noven einen Beschlagnahmegrund nachschieben kann. Die in der Beschwerdeduplik zur Begründung der geänderten Position auf- geführten Erkenntnisse waren für die Beschwerdegegnerin nicht neu. Aus</w:t>
      </w:r>
    </w:p>
    <w:p>
      <w:r>
        <w:t>- 8 -</w:t>
      </w:r>
    </w:p>
    <w:p>
      <w:r>
        <w:t>dem Protokoll über die Hausdurchsuchung (BK act. 2.2, pag. 000097- 000099) ergab sich nämlich schon vorher, dass der Verdacht bestand, die Bestellungen seien einzig über den Computer des Beschwerdeführers (und nicht über den Computer des Sohnes und der Ehefrau) abgewickelt worden und darauf befinde sich auch die Buchhaltung. Indessen sind bezüglich dieses Computers die Voraussetzungen für eine Aufrechterhaltung der Be- schlagnahme heute ohnehin nicht mehr erfüllt. Nach durchgeführter Spie- gelung benötigt die Strafverfolgungsbehörde das Notebook nicht mehr. Eine Fortsetzung der Beschlagnahme ist insofern unverhältnismässig, als statt der Beschlagnahme als ausreichende, mildere Massnahme die einer allfälligen Fortsetzung des Arzneimittelhandels dienenden Programme und Dateien vor Rückgabe der Notebooks gelöscht werden können (zufolge Spiegelung sind diese in Kopie bei der Behörde vorhanden und könnten al- lenfalls wieder [elektronisch] zurückgegeben werden).</w:t>
      </w:r>
    </w:p>
    <w:p>
      <w:r>
        <w:t>In diesem Punkt ist die Beschwerde zu schützen, und der Beschlag über das Notebook HP samt Netzteil ist aufzuheben. Dieses ist nach Löschung der dem Arzneimittelhandel dienenden Dateien und Programme zurückzu- geben.</w:t>
      </w:r>
    </w:p>
    <w:p>
      <w:r>
        <w:rPr>
          <w:b/>
        </w:rPr>
        <w:t>E. 5</w:t>
      </w:r>
    </w:p>
    <w:p>
      <w:r>
        <w:t>Die Gerichtsgebühr wird auf Fr. 1'500.-- festgesetzt (Art. 3 des Reglements über die Gerichtsgebühren vor dem Bundesstrafgericht [SR 173.711.32]). Gemäss Art. 25 Abs. 4 VStrR bestimmt sich die Kostenpflicht im Be- schwerdeverfahren vor der Beschwerdekammer nach Art. 245 BStP und Art. 156 OG. Danach werden die Gerichtskosten in der Regel der vor Bun- desstrafgericht unterliegenden Partei auferlegt (Art. 156 Abs. 1 OG). Der Beschwerdeführer ist mit einem geringfügigen Teil seiner Rechtsbegehren durchgedrungen, weshalb ihm die Gerichtsgebühr zum überwiegenden Teil von Fr. 1'200.-- und unter Anrechnung des geleisteten Kostenvorschusses auferlegt wird. Entsprechend ist ihm eine reduzierte Parteientschädigung zuzusprechen (Art. 159 Abs. 3 OG). Gestützt auf Art. 3 Abs. 2 des Regle- ments des Bundesstrafgerichts über die Entschädigung in Verfahren vor dem Bundesstrafgericht (SR 173.711.31) ist das Honorar nach Ermessen festzusetzen, wenn keine Kostennote eingereicht wird. Ausgehend von ei- ner angemessenen Entschädigung von Fr. 1'000.-- – die Rechtsvertretung erfolgte erst auf den zweiten Schriftenwechsel hin – ist dem Beschwerde- führer ein Betrag von Fr. 200.-- (inklusive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